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90" w:rsidRPr="00DA09CE" w:rsidRDefault="00787290">
      <w:r w:rsidRPr="00DA09CE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-778933</wp:posOffset>
            </wp:positionV>
            <wp:extent cx="1488017" cy="169333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EE Montreal Colo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1" t="16315" r="26424" b="13834"/>
                    <a:stretch/>
                  </pic:blipFill>
                  <pic:spPr bwMode="auto">
                    <a:xfrm>
                      <a:off x="0" y="0"/>
                      <a:ext cx="1488017" cy="1693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87290" w:rsidRPr="00DA09CE" w:rsidRDefault="00787290"/>
    <w:p w:rsidR="00787290" w:rsidRPr="00DA09CE" w:rsidRDefault="00787290"/>
    <w:p w:rsidR="00B348A9" w:rsidRPr="00DA09CE" w:rsidRDefault="00787290" w:rsidP="00A66676">
      <w:pPr>
        <w:jc w:val="center"/>
        <w:rPr>
          <w:sz w:val="32"/>
          <w:szCs w:val="32"/>
        </w:rPr>
      </w:pPr>
      <w:r w:rsidRPr="00DA09CE">
        <w:rPr>
          <w:sz w:val="32"/>
          <w:szCs w:val="32"/>
        </w:rPr>
        <w:t>IEEE MONTRÉAL SECTION</w:t>
      </w:r>
      <w:r w:rsidR="00A66676">
        <w:rPr>
          <w:sz w:val="32"/>
          <w:szCs w:val="32"/>
        </w:rPr>
        <w:t xml:space="preserve"> </w:t>
      </w:r>
      <w:r w:rsidR="00A66676">
        <w:rPr>
          <w:sz w:val="32"/>
          <w:szCs w:val="32"/>
        </w:rPr>
        <w:br/>
      </w:r>
      <w:r w:rsidRPr="00DA09CE">
        <w:rPr>
          <w:sz w:val="32"/>
          <w:szCs w:val="32"/>
        </w:rPr>
        <w:t>OPERA</w:t>
      </w:r>
      <w:bookmarkStart w:id="0" w:name="_GoBack"/>
      <w:bookmarkEnd w:id="0"/>
      <w:r w:rsidRPr="00DA09CE">
        <w:rPr>
          <w:sz w:val="32"/>
          <w:szCs w:val="32"/>
        </w:rPr>
        <w:t xml:space="preserve">TIONS MANUAL </w:t>
      </w:r>
      <w:r w:rsidR="00A66676">
        <w:rPr>
          <w:sz w:val="32"/>
          <w:szCs w:val="32"/>
        </w:rPr>
        <w:br/>
      </w:r>
      <w:r w:rsidR="00A73285" w:rsidRPr="00DA09CE">
        <w:rPr>
          <w:sz w:val="32"/>
          <w:szCs w:val="32"/>
        </w:rPr>
        <w:t>Created: July 2018</w:t>
      </w:r>
      <w:r w:rsidR="00B348A9">
        <w:rPr>
          <w:sz w:val="32"/>
          <w:szCs w:val="32"/>
        </w:rPr>
        <w:t>, Updated</w:t>
      </w:r>
      <w:r w:rsidR="00B348A9" w:rsidRPr="00DA09CE">
        <w:rPr>
          <w:sz w:val="32"/>
          <w:szCs w:val="32"/>
        </w:rPr>
        <w:t xml:space="preserve">: </w:t>
      </w:r>
      <w:r w:rsidR="00B348A9">
        <w:rPr>
          <w:sz w:val="32"/>
          <w:szCs w:val="32"/>
        </w:rPr>
        <w:t xml:space="preserve">April </w:t>
      </w:r>
      <w:r w:rsidR="00B348A9" w:rsidRPr="00DA09CE">
        <w:rPr>
          <w:sz w:val="32"/>
          <w:szCs w:val="32"/>
        </w:rPr>
        <w:t>201</w:t>
      </w:r>
      <w:r w:rsidR="00B348A9">
        <w:rPr>
          <w:sz w:val="32"/>
          <w:szCs w:val="32"/>
        </w:rPr>
        <w:t>9</w:t>
      </w:r>
    </w:p>
    <w:p w:rsidR="00787290" w:rsidRPr="00DA09CE" w:rsidRDefault="00642DE8" w:rsidP="00642DE8">
      <w:pPr>
        <w:pStyle w:val="Heading1"/>
      </w:pPr>
      <w:r w:rsidRPr="00DA09CE">
        <w:t>Introduction</w:t>
      </w:r>
    </w:p>
    <w:p w:rsidR="009C1383" w:rsidRPr="00DA09CE" w:rsidRDefault="00642DE8" w:rsidP="00A66676">
      <w:pPr>
        <w:jc w:val="both"/>
      </w:pPr>
      <w:r w:rsidRPr="00DA09CE">
        <w:t>The present document describes the IEEE Montréal Section rules of operation.</w:t>
      </w:r>
      <w:r w:rsidR="00A66676">
        <w:t xml:space="preserve"> </w:t>
      </w:r>
      <w:r w:rsidRPr="00DA09CE">
        <w:t>The IEEE Montréal Section is a section of IEEE Region 7, which is governed by IEEE Canada.</w:t>
      </w:r>
      <w:r w:rsidR="00A66676">
        <w:t xml:space="preserve"> </w:t>
      </w:r>
      <w:r w:rsidR="009C1383" w:rsidRPr="00DA09CE">
        <w:t>The section goes by both the English and French spelling of Montreal, for example, both of the following are acceptable designations:</w:t>
      </w:r>
    </w:p>
    <w:p w:rsidR="009C1383" w:rsidRPr="00DA09CE" w:rsidRDefault="009C1383" w:rsidP="009C1383">
      <w:pPr>
        <w:pStyle w:val="ListParagraph"/>
        <w:numPr>
          <w:ilvl w:val="0"/>
          <w:numId w:val="4"/>
        </w:numPr>
      </w:pPr>
      <w:r w:rsidRPr="00DA09CE">
        <w:t xml:space="preserve">IEEE Montréal Section </w:t>
      </w:r>
    </w:p>
    <w:p w:rsidR="009C1383" w:rsidRPr="00DA09CE" w:rsidRDefault="009C1383" w:rsidP="009C1383">
      <w:pPr>
        <w:pStyle w:val="ListParagraph"/>
        <w:numPr>
          <w:ilvl w:val="0"/>
          <w:numId w:val="4"/>
        </w:numPr>
      </w:pPr>
      <w:r w:rsidRPr="00DA09CE">
        <w:t>IEEE Montreal Section</w:t>
      </w:r>
    </w:p>
    <w:p w:rsidR="00642DE8" w:rsidRPr="00DA09CE" w:rsidRDefault="00642DE8" w:rsidP="00642DE8">
      <w:pPr>
        <w:pStyle w:val="Heading1"/>
      </w:pPr>
      <w:r w:rsidRPr="00DA09CE">
        <w:t xml:space="preserve"> Geographic Location</w:t>
      </w:r>
    </w:p>
    <w:p w:rsidR="00642DE8" w:rsidRPr="00DA09CE" w:rsidRDefault="00642DE8" w:rsidP="00A66676">
      <w:pPr>
        <w:jc w:val="both"/>
      </w:pPr>
      <w:r w:rsidRPr="00DA09CE">
        <w:t xml:space="preserve">The IEEE Montréal Section territory can be approximated by the area of the Province of Quebec which lies </w:t>
      </w:r>
      <w:r w:rsidR="00AA24D7" w:rsidRPr="00DA09CE">
        <w:t>w</w:t>
      </w:r>
      <w:r w:rsidR="009C1383" w:rsidRPr="00DA09CE">
        <w:t>est</w:t>
      </w:r>
      <w:r w:rsidRPr="00DA09CE">
        <w:t xml:space="preserve"> of an imaginary line connecting </w:t>
      </w:r>
      <w:r w:rsidR="005B55FD" w:rsidRPr="00DA09CE">
        <w:t xml:space="preserve">the IEEE Sections of </w:t>
      </w:r>
      <w:r w:rsidRPr="00DA09CE">
        <w:t>Trois Rivi</w:t>
      </w:r>
      <w:r w:rsidR="005B55FD" w:rsidRPr="00DA09CE">
        <w:t>è</w:t>
      </w:r>
      <w:r w:rsidRPr="00DA09CE">
        <w:t>r</w:t>
      </w:r>
      <w:r w:rsidR="005B55FD" w:rsidRPr="00DA09CE">
        <w:t>e</w:t>
      </w:r>
      <w:r w:rsidRPr="00DA09CE">
        <w:t>s</w:t>
      </w:r>
      <w:r w:rsidR="005B55FD" w:rsidRPr="00DA09CE">
        <w:t xml:space="preserve"> and Sherbrooke.</w:t>
      </w:r>
    </w:p>
    <w:p w:rsidR="003D085C" w:rsidRPr="00DA09CE" w:rsidRDefault="003D085C" w:rsidP="003D085C">
      <w:pPr>
        <w:pStyle w:val="Heading1"/>
      </w:pPr>
      <w:r w:rsidRPr="00DA09CE">
        <w:t>Rules of Operation</w:t>
      </w:r>
    </w:p>
    <w:p w:rsidR="002A4E6A" w:rsidRPr="00DA09CE" w:rsidRDefault="002A4E6A" w:rsidP="00A66676">
      <w:pPr>
        <w:jc w:val="both"/>
      </w:pPr>
      <w:r w:rsidRPr="00DA09CE">
        <w:t xml:space="preserve">The IEEE Montréal Section is governed by the rules specified in </w:t>
      </w:r>
      <w:r w:rsidR="00A73285" w:rsidRPr="00DA09CE">
        <w:t xml:space="preserve">Section 9.4 of </w:t>
      </w:r>
      <w:r w:rsidRPr="00DA09CE">
        <w:t xml:space="preserve">the IEEE MGA Operations Manual (2016) which can be found at the following </w:t>
      </w:r>
      <w:hyperlink r:id="rId8" w:history="1">
        <w:r w:rsidR="00A66676" w:rsidRPr="00DA29A4">
          <w:rPr>
            <w:rStyle w:val="Hyperlink"/>
          </w:rPr>
          <w:t>website</w:t>
        </w:r>
      </w:hyperlink>
      <w:r w:rsidR="00A66676">
        <w:t>.</w:t>
      </w:r>
    </w:p>
    <w:p w:rsidR="00F20BBF" w:rsidRPr="00DA09CE" w:rsidRDefault="00F20BBF" w:rsidP="00F20BBF">
      <w:pPr>
        <w:pStyle w:val="Heading1"/>
      </w:pPr>
      <w:r w:rsidRPr="00DA09CE">
        <w:t>Local Operating Procedures</w:t>
      </w:r>
    </w:p>
    <w:p w:rsidR="002A4E6A" w:rsidRPr="00DA09CE" w:rsidRDefault="00A73285" w:rsidP="003D085C">
      <w:r w:rsidRPr="00DA09CE">
        <w:t>The IEEE Montréal Section applies the following Local Operating Procedures:</w:t>
      </w:r>
    </w:p>
    <w:p w:rsidR="00A73285" w:rsidRPr="00DA09CE" w:rsidRDefault="00A73285" w:rsidP="00A73285">
      <w:pPr>
        <w:pStyle w:val="ListParagraph"/>
        <w:numPr>
          <w:ilvl w:val="0"/>
          <w:numId w:val="5"/>
        </w:numPr>
      </w:pPr>
      <w:r w:rsidRPr="00DA09CE">
        <w:t>The IEEE Montréal Section is administrated by the IEEE Montréal Executive Committee and the IEEE Montréal Board of Directors.</w:t>
      </w:r>
    </w:p>
    <w:p w:rsidR="00A73285" w:rsidRPr="00DA09CE" w:rsidRDefault="00A73285" w:rsidP="00F20BBF">
      <w:pPr>
        <w:ind w:left="720"/>
      </w:pPr>
      <w:r w:rsidRPr="00DA09CE">
        <w:t>The voting officers of the IEEE Montréal Board of Directors include:</w:t>
      </w:r>
    </w:p>
    <w:p w:rsidR="00A73285" w:rsidRPr="00DA09CE" w:rsidRDefault="00A73285" w:rsidP="00F20BBF">
      <w:pPr>
        <w:pStyle w:val="ListParagraph"/>
        <w:numPr>
          <w:ilvl w:val="0"/>
          <w:numId w:val="7"/>
        </w:numPr>
      </w:pPr>
      <w:r w:rsidRPr="00DA09CE">
        <w:t>Chair, Vice Chair, Treasurer and Secretary</w:t>
      </w:r>
    </w:p>
    <w:p w:rsidR="00A73285" w:rsidRPr="00DA09CE" w:rsidRDefault="00A73285" w:rsidP="00F20BBF">
      <w:pPr>
        <w:pStyle w:val="ListParagraph"/>
        <w:numPr>
          <w:ilvl w:val="0"/>
          <w:numId w:val="7"/>
        </w:numPr>
      </w:pPr>
      <w:r w:rsidRPr="00DA09CE">
        <w:t>Chapter and Affinity Group Chairs</w:t>
      </w:r>
    </w:p>
    <w:p w:rsidR="00A73285" w:rsidRPr="00DA09CE" w:rsidRDefault="00A73285" w:rsidP="00F20BBF">
      <w:pPr>
        <w:pStyle w:val="ListParagraph"/>
        <w:numPr>
          <w:ilvl w:val="0"/>
          <w:numId w:val="7"/>
        </w:numPr>
      </w:pPr>
      <w:r w:rsidRPr="00DA09CE">
        <w:t>Student Branch Chairs and Counselors</w:t>
      </w:r>
    </w:p>
    <w:p w:rsidR="00A73285" w:rsidRPr="00DA09CE" w:rsidRDefault="00A73285" w:rsidP="00F20BBF">
      <w:pPr>
        <w:pStyle w:val="ListParagraph"/>
        <w:numPr>
          <w:ilvl w:val="0"/>
          <w:numId w:val="7"/>
        </w:numPr>
      </w:pPr>
      <w:r w:rsidRPr="00DA09CE">
        <w:t>Chairs of Standing and Ad Hoc Committees</w:t>
      </w:r>
    </w:p>
    <w:p w:rsidR="00A73285" w:rsidRPr="00DA09CE" w:rsidRDefault="00A73285" w:rsidP="00F20BBF">
      <w:pPr>
        <w:pStyle w:val="ListParagraph"/>
        <w:numPr>
          <w:ilvl w:val="0"/>
          <w:numId w:val="7"/>
        </w:numPr>
      </w:pPr>
      <w:r w:rsidRPr="00DA09CE">
        <w:t>Members of the IEEE Montréal Executive Committee</w:t>
      </w:r>
    </w:p>
    <w:p w:rsidR="00A73285" w:rsidRPr="00DA09CE" w:rsidRDefault="00A73285" w:rsidP="00F20BBF">
      <w:pPr>
        <w:ind w:left="720"/>
      </w:pPr>
      <w:r w:rsidRPr="00DA09CE">
        <w:lastRenderedPageBreak/>
        <w:t>The voting officers of the IEEE Montréal Executive Committee include:</w:t>
      </w:r>
    </w:p>
    <w:p w:rsidR="00A73285" w:rsidRPr="00DA09CE" w:rsidRDefault="00A73285" w:rsidP="00F20BBF">
      <w:pPr>
        <w:pStyle w:val="ListParagraph"/>
        <w:numPr>
          <w:ilvl w:val="0"/>
          <w:numId w:val="8"/>
        </w:numPr>
      </w:pPr>
      <w:r w:rsidRPr="00DA09CE">
        <w:t>Chair, Vice Chair, Treasurer and Secretary</w:t>
      </w:r>
    </w:p>
    <w:p w:rsidR="00A73285" w:rsidRPr="00DA09CE" w:rsidRDefault="00A73285" w:rsidP="00F20BBF">
      <w:pPr>
        <w:pStyle w:val="ListParagraph"/>
        <w:numPr>
          <w:ilvl w:val="0"/>
          <w:numId w:val="8"/>
        </w:numPr>
      </w:pPr>
      <w:r w:rsidRPr="00DA09CE">
        <w:t>Past Chair</w:t>
      </w:r>
    </w:p>
    <w:p w:rsidR="00F20BBF" w:rsidRPr="00DA09CE" w:rsidRDefault="00A73285" w:rsidP="00A66676">
      <w:pPr>
        <w:ind w:left="720"/>
      </w:pPr>
      <w:r w:rsidRPr="00DA09CE">
        <w:t xml:space="preserve">Present serving members of the Board of Directors are listed on the IEEE Montreal </w:t>
      </w:r>
      <w:hyperlink r:id="rId9" w:history="1">
        <w:r w:rsidR="00A66676" w:rsidRPr="00A66676">
          <w:rPr>
            <w:rStyle w:val="Hyperlink"/>
          </w:rPr>
          <w:t>w</w:t>
        </w:r>
        <w:r w:rsidRPr="00A66676">
          <w:rPr>
            <w:rStyle w:val="Hyperlink"/>
          </w:rPr>
          <w:t>eb</w:t>
        </w:r>
        <w:r w:rsidR="00A66676" w:rsidRPr="00A66676">
          <w:rPr>
            <w:rStyle w:val="Hyperlink"/>
          </w:rPr>
          <w:t>s</w:t>
        </w:r>
        <w:r w:rsidRPr="00A66676">
          <w:rPr>
            <w:rStyle w:val="Hyperlink"/>
          </w:rPr>
          <w:t>ite</w:t>
        </w:r>
      </w:hyperlink>
      <w:r w:rsidR="00A66676">
        <w:t>.</w:t>
      </w:r>
    </w:p>
    <w:p w:rsidR="00A66676" w:rsidRPr="00DA09CE" w:rsidRDefault="00F20BBF" w:rsidP="00A66676">
      <w:pPr>
        <w:pStyle w:val="ListParagraph"/>
        <w:numPr>
          <w:ilvl w:val="0"/>
          <w:numId w:val="5"/>
        </w:numPr>
      </w:pPr>
      <w:r w:rsidRPr="00DA09CE">
        <w:t>Representatives (Chair and/or Vice Chair, or appointed delegate) from each Student Branch are full voting members of the Board of Directors.</w:t>
      </w:r>
      <w:r w:rsidR="00A66676">
        <w:br/>
      </w:r>
    </w:p>
    <w:p w:rsidR="00A66676" w:rsidRPr="00DA09CE" w:rsidRDefault="00F20BBF" w:rsidP="00A66676">
      <w:pPr>
        <w:pStyle w:val="ListParagraph"/>
        <w:numPr>
          <w:ilvl w:val="0"/>
          <w:numId w:val="5"/>
        </w:numPr>
      </w:pPr>
      <w:r w:rsidRPr="00DA09CE">
        <w:t>Elections for all officers (Chair, Vice Chair, Secretary, Treasurer) shall take place every two years.</w:t>
      </w:r>
      <w:r w:rsidR="00CA2ECF" w:rsidRPr="00DA09CE">
        <w:t xml:space="preserve">  The officer terms shall be from January 1 to December 31 of the following year.</w:t>
      </w:r>
      <w:r w:rsidR="00A66676">
        <w:br/>
      </w:r>
    </w:p>
    <w:p w:rsidR="00F20BBF" w:rsidRPr="00DA09CE" w:rsidRDefault="00F20BBF" w:rsidP="00F20BBF">
      <w:pPr>
        <w:pStyle w:val="ListParagraph"/>
        <w:numPr>
          <w:ilvl w:val="0"/>
          <w:numId w:val="5"/>
        </w:numPr>
      </w:pPr>
      <w:r w:rsidRPr="00DA09CE">
        <w:t>The immediate Past President shall chair the Section Nominating Committee.</w:t>
      </w:r>
    </w:p>
    <w:p w:rsidR="00F20BBF" w:rsidRPr="00DA09CE" w:rsidRDefault="00F20BBF" w:rsidP="00F20BBF">
      <w:pPr>
        <w:pStyle w:val="Heading1"/>
      </w:pPr>
      <w:r w:rsidRPr="00DA09CE">
        <w:t>Operations Manual Ratification and Revisions</w:t>
      </w:r>
    </w:p>
    <w:p w:rsidR="00F20BBF" w:rsidRDefault="00F20BBF" w:rsidP="00A66676">
      <w:pPr>
        <w:jc w:val="both"/>
      </w:pPr>
      <w:r w:rsidRPr="00DA09CE">
        <w:t xml:space="preserve">The present Operations Manual </w:t>
      </w:r>
      <w:r w:rsidR="00B348A9">
        <w:t>was</w:t>
      </w:r>
      <w:r w:rsidRPr="00DA09CE">
        <w:t xml:space="preserve"> </w:t>
      </w:r>
      <w:r w:rsidR="00B348A9">
        <w:t xml:space="preserve">discussed and ratified </w:t>
      </w:r>
      <w:r w:rsidRPr="00DA09CE">
        <w:t>during the August 2018 meeting of the IEEE Montréal Executive Committee.</w:t>
      </w:r>
      <w:r w:rsidR="00B348A9">
        <w:t xml:space="preserve"> </w:t>
      </w:r>
      <w:r w:rsidRPr="00DA09CE">
        <w:t>After ratification, the IEEE Montréal Section Operations Manual shall be ratified or revised every five years starting in the year 2020.</w:t>
      </w:r>
    </w:p>
    <w:p w:rsidR="00AA24D7" w:rsidRPr="00DA09CE" w:rsidRDefault="00AA24D7" w:rsidP="00AA24D7">
      <w:pPr>
        <w:pStyle w:val="Heading1"/>
      </w:pPr>
      <w:r w:rsidRPr="00DA09CE">
        <w:t>Policy for Supporting Local Conferences and Meetings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3165"/>
        <w:gridCol w:w="2609"/>
        <w:gridCol w:w="2615"/>
      </w:tblGrid>
      <w:tr w:rsidR="00DA09CE" w:rsidRPr="00DA09CE" w:rsidTr="00DA09CE">
        <w:tc>
          <w:tcPr>
            <w:tcW w:w="749" w:type="pct"/>
            <w:tcBorders>
              <w:top w:val="nil"/>
              <w:left w:val="nil"/>
            </w:tcBorders>
            <w:shd w:val="clear" w:color="auto" w:fill="auto"/>
          </w:tcPr>
          <w:p w:rsidR="00AA24D7" w:rsidRPr="00DA09CE" w:rsidRDefault="00AA24D7" w:rsidP="004571E1">
            <w:pPr>
              <w:pStyle w:val="NormalItem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604" w:type="pct"/>
            <w:shd w:val="clear" w:color="auto" w:fill="auto"/>
          </w:tcPr>
          <w:p w:rsidR="00AA24D7" w:rsidRPr="00DA09CE" w:rsidRDefault="00AA24D7" w:rsidP="004571E1">
            <w:pPr>
              <w:pStyle w:val="NormalItem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CA"/>
              </w:rPr>
            </w:pPr>
            <w:r w:rsidRPr="00DA09CE">
              <w:rPr>
                <w:rFonts w:asciiTheme="minorHAnsi" w:hAnsiTheme="minorHAnsi"/>
                <w:b/>
                <w:bCs/>
                <w:sz w:val="22"/>
                <w:szCs w:val="22"/>
                <w:lang w:val="en-CA"/>
              </w:rPr>
              <w:t>Financial</w:t>
            </w:r>
          </w:p>
        </w:tc>
        <w:tc>
          <w:tcPr>
            <w:tcW w:w="1322" w:type="pct"/>
            <w:shd w:val="clear" w:color="auto" w:fill="auto"/>
          </w:tcPr>
          <w:p w:rsidR="00AA24D7" w:rsidRPr="00DA09CE" w:rsidRDefault="00AA24D7" w:rsidP="004571E1">
            <w:pPr>
              <w:pStyle w:val="NormalItem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CA"/>
              </w:rPr>
            </w:pPr>
            <w:r w:rsidRPr="00DA09CE">
              <w:rPr>
                <w:rFonts w:asciiTheme="minorHAnsi" w:hAnsiTheme="minorHAnsi"/>
                <w:b/>
                <w:bCs/>
                <w:sz w:val="22"/>
                <w:szCs w:val="22"/>
                <w:lang w:val="en-CA"/>
              </w:rPr>
              <w:t>Technical</w:t>
            </w:r>
          </w:p>
        </w:tc>
        <w:tc>
          <w:tcPr>
            <w:tcW w:w="1325" w:type="pct"/>
            <w:shd w:val="clear" w:color="auto" w:fill="auto"/>
          </w:tcPr>
          <w:p w:rsidR="00AA24D7" w:rsidRPr="00DA09CE" w:rsidRDefault="00AA24D7" w:rsidP="004571E1">
            <w:pPr>
              <w:pStyle w:val="NormalItem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CA"/>
              </w:rPr>
            </w:pPr>
            <w:r w:rsidRPr="00DA09CE">
              <w:rPr>
                <w:rFonts w:asciiTheme="minorHAnsi" w:hAnsiTheme="minorHAnsi"/>
                <w:b/>
                <w:bCs/>
                <w:sz w:val="22"/>
                <w:szCs w:val="22"/>
                <w:lang w:val="en-CA"/>
              </w:rPr>
              <w:t>Patronage</w:t>
            </w:r>
          </w:p>
        </w:tc>
      </w:tr>
      <w:tr w:rsidR="00DA09CE" w:rsidRPr="00DA09CE" w:rsidTr="00DA09CE">
        <w:tc>
          <w:tcPr>
            <w:tcW w:w="749" w:type="pct"/>
            <w:shd w:val="clear" w:color="auto" w:fill="auto"/>
          </w:tcPr>
          <w:p w:rsidR="00AA24D7" w:rsidRPr="00DA09CE" w:rsidRDefault="00AA24D7" w:rsidP="004571E1">
            <w:pPr>
              <w:pStyle w:val="NormalItem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  <w:lang w:val="en-CA"/>
              </w:rPr>
            </w:pPr>
            <w:r w:rsidRPr="00DA09CE">
              <w:rPr>
                <w:rFonts w:asciiTheme="minorHAnsi" w:hAnsiTheme="minorHAnsi"/>
                <w:b/>
                <w:bCs/>
                <w:sz w:val="22"/>
                <w:szCs w:val="22"/>
                <w:lang w:val="en-CA"/>
              </w:rPr>
              <w:t>Description</w:t>
            </w:r>
          </w:p>
        </w:tc>
        <w:tc>
          <w:tcPr>
            <w:tcW w:w="1604" w:type="pct"/>
            <w:shd w:val="clear" w:color="auto" w:fill="auto"/>
          </w:tcPr>
          <w:p w:rsidR="00AA24D7" w:rsidRPr="00DA09CE" w:rsidRDefault="00AA24D7" w:rsidP="004571E1">
            <w:pPr>
              <w:pStyle w:val="NormalItem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A09CE">
              <w:rPr>
                <w:rFonts w:asciiTheme="minorHAnsi" w:hAnsiTheme="minorHAnsi"/>
                <w:sz w:val="22"/>
                <w:szCs w:val="22"/>
                <w:lang w:val="en-CA"/>
              </w:rPr>
              <w:t>Jointly responsible: surplus &amp; losses based on co</w:t>
            </w:r>
            <w:r w:rsidR="00DA09CE">
              <w:rPr>
                <w:rFonts w:asciiTheme="minorHAnsi" w:hAnsiTheme="minorHAnsi"/>
                <w:sz w:val="22"/>
                <w:szCs w:val="22"/>
                <w:lang w:val="en-CA"/>
              </w:rPr>
              <w:t>-</w:t>
            </w:r>
            <w:r w:rsidRPr="00DA09CE">
              <w:rPr>
                <w:rFonts w:asciiTheme="minorHAnsi" w:hAnsiTheme="minorHAnsi"/>
                <w:sz w:val="22"/>
                <w:szCs w:val="22"/>
                <w:lang w:val="en-CA"/>
              </w:rPr>
              <w:t>sponsorship percentage. Average surplus of 16% for IEEE conferences.</w:t>
            </w:r>
          </w:p>
        </w:tc>
        <w:tc>
          <w:tcPr>
            <w:tcW w:w="1322" w:type="pct"/>
            <w:shd w:val="clear" w:color="auto" w:fill="auto"/>
          </w:tcPr>
          <w:p w:rsidR="00AA24D7" w:rsidRPr="00DA09CE" w:rsidRDefault="00AA24D7" w:rsidP="004571E1">
            <w:pPr>
              <w:pStyle w:val="NormalItem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A09CE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Conference pays for </w:t>
            </w:r>
            <w:r w:rsidR="00DA09CE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IEEE </w:t>
            </w:r>
            <w:r w:rsidRPr="00DA09CE">
              <w:rPr>
                <w:rFonts w:asciiTheme="minorHAnsi" w:hAnsiTheme="minorHAnsi"/>
                <w:sz w:val="22"/>
                <w:szCs w:val="22"/>
                <w:lang w:val="en-CA"/>
              </w:rPr>
              <w:t>Xplore fees. Section ensures quality of papers through a TPC.</w:t>
            </w:r>
          </w:p>
        </w:tc>
        <w:tc>
          <w:tcPr>
            <w:tcW w:w="1325" w:type="pct"/>
            <w:shd w:val="clear" w:color="auto" w:fill="auto"/>
          </w:tcPr>
          <w:p w:rsidR="00AA24D7" w:rsidRPr="00DA09CE" w:rsidRDefault="00AA24D7" w:rsidP="004571E1">
            <w:pPr>
              <w:pStyle w:val="NormalItem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A09CE">
              <w:rPr>
                <w:rFonts w:asciiTheme="minorHAnsi" w:hAnsiTheme="minorHAnsi"/>
                <w:sz w:val="22"/>
                <w:szCs w:val="22"/>
                <w:lang w:val="en-CA"/>
              </w:rPr>
              <w:t>Section offers fixed amount for visibility &amp; reduced rates for local IEEE members.</w:t>
            </w:r>
          </w:p>
        </w:tc>
      </w:tr>
      <w:tr w:rsidR="00AA24D7" w:rsidRPr="00DA09CE" w:rsidTr="00DA09CE">
        <w:tc>
          <w:tcPr>
            <w:tcW w:w="749" w:type="pct"/>
            <w:shd w:val="clear" w:color="auto" w:fill="auto"/>
          </w:tcPr>
          <w:p w:rsidR="00AA24D7" w:rsidRPr="00DA09CE" w:rsidRDefault="00AA24D7" w:rsidP="004571E1">
            <w:pPr>
              <w:pStyle w:val="NormalItem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  <w:lang w:val="en-CA"/>
              </w:rPr>
            </w:pPr>
            <w:r w:rsidRPr="00DA09CE">
              <w:rPr>
                <w:rFonts w:asciiTheme="minorHAnsi" w:hAnsiTheme="minorHAnsi"/>
                <w:b/>
                <w:bCs/>
                <w:sz w:val="22"/>
                <w:szCs w:val="22"/>
                <w:lang w:val="en-CA"/>
              </w:rPr>
              <w:t>Eligibility</w:t>
            </w:r>
          </w:p>
        </w:tc>
        <w:tc>
          <w:tcPr>
            <w:tcW w:w="4251" w:type="pct"/>
            <w:gridSpan w:val="3"/>
            <w:shd w:val="clear" w:color="auto" w:fill="auto"/>
          </w:tcPr>
          <w:p w:rsidR="00AA24D7" w:rsidRPr="00DA09CE" w:rsidRDefault="00AA24D7" w:rsidP="004571E1">
            <w:pPr>
              <w:pStyle w:val="NormalItem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A09CE">
              <w:rPr>
                <w:rFonts w:asciiTheme="minorHAnsi" w:hAnsiTheme="minorHAnsi"/>
                <w:sz w:val="22"/>
                <w:szCs w:val="22"/>
                <w:lang w:val="en-CA"/>
              </w:rPr>
              <w:t>Any not-for-profit (IEEE &amp; non-IEEE)</w:t>
            </w:r>
          </w:p>
        </w:tc>
      </w:tr>
      <w:tr w:rsidR="00AA24D7" w:rsidRPr="00DA09CE" w:rsidTr="00DA09CE">
        <w:tc>
          <w:tcPr>
            <w:tcW w:w="749" w:type="pct"/>
            <w:shd w:val="clear" w:color="auto" w:fill="auto"/>
          </w:tcPr>
          <w:p w:rsidR="00AA24D7" w:rsidRPr="00DA09CE" w:rsidRDefault="00AA24D7" w:rsidP="004571E1">
            <w:pPr>
              <w:pStyle w:val="NormalItem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  <w:lang w:val="en-CA"/>
              </w:rPr>
            </w:pPr>
            <w:r w:rsidRPr="00DA09CE">
              <w:rPr>
                <w:rFonts w:asciiTheme="minorHAnsi" w:hAnsiTheme="minorHAnsi"/>
                <w:b/>
                <w:bCs/>
                <w:sz w:val="22"/>
                <w:szCs w:val="22"/>
                <w:lang w:val="en-CA"/>
              </w:rPr>
              <w:t>Must avoid</w:t>
            </w:r>
          </w:p>
        </w:tc>
        <w:tc>
          <w:tcPr>
            <w:tcW w:w="4251" w:type="pct"/>
            <w:gridSpan w:val="3"/>
            <w:shd w:val="clear" w:color="auto" w:fill="auto"/>
          </w:tcPr>
          <w:p w:rsidR="00AA24D7" w:rsidRPr="00DA09CE" w:rsidRDefault="00AA24D7" w:rsidP="004571E1">
            <w:pPr>
              <w:pStyle w:val="NormalItem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A09CE">
              <w:rPr>
                <w:rFonts w:asciiTheme="minorHAnsi" w:hAnsiTheme="minorHAnsi"/>
                <w:sz w:val="22"/>
                <w:szCs w:val="22"/>
                <w:lang w:val="en-CA"/>
              </w:rPr>
              <w:t>For-profit conferences</w:t>
            </w:r>
          </w:p>
        </w:tc>
      </w:tr>
      <w:tr w:rsidR="00DA09CE" w:rsidRPr="00DA09CE" w:rsidTr="00DA09CE">
        <w:tc>
          <w:tcPr>
            <w:tcW w:w="749" w:type="pct"/>
            <w:shd w:val="clear" w:color="auto" w:fill="auto"/>
          </w:tcPr>
          <w:p w:rsidR="00AA24D7" w:rsidRPr="00DA09CE" w:rsidRDefault="00AA24D7" w:rsidP="004571E1">
            <w:pPr>
              <w:pStyle w:val="NormalItem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  <w:lang w:val="en-CA"/>
              </w:rPr>
            </w:pPr>
            <w:r w:rsidRPr="00DA09CE">
              <w:rPr>
                <w:rFonts w:asciiTheme="minorHAnsi" w:hAnsiTheme="minorHAnsi"/>
                <w:b/>
                <w:bCs/>
                <w:sz w:val="22"/>
                <w:szCs w:val="22"/>
                <w:lang w:val="en-CA"/>
              </w:rPr>
              <w:t>Suggestion</w:t>
            </w:r>
          </w:p>
        </w:tc>
        <w:tc>
          <w:tcPr>
            <w:tcW w:w="1604" w:type="pct"/>
            <w:shd w:val="clear" w:color="auto" w:fill="auto"/>
          </w:tcPr>
          <w:p w:rsidR="00AA24D7" w:rsidRPr="00DA09CE" w:rsidRDefault="00AA24D7" w:rsidP="004571E1">
            <w:pPr>
              <w:pStyle w:val="NormalItem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A09CE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Research history of conference to estimate expected surplus, e.g. </w:t>
            </w:r>
            <w:r w:rsidR="00DA09CE">
              <w:rPr>
                <w:rFonts w:asciiTheme="minorHAnsi" w:hAnsiTheme="minorHAnsi"/>
                <w:sz w:val="22"/>
                <w:szCs w:val="22"/>
                <w:lang w:val="en-CA"/>
              </w:rPr>
              <w:t>number</w:t>
            </w:r>
            <w:r w:rsidRPr="00DA09CE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of attendees</w:t>
            </w:r>
          </w:p>
        </w:tc>
        <w:tc>
          <w:tcPr>
            <w:tcW w:w="1322" w:type="pct"/>
            <w:shd w:val="clear" w:color="auto" w:fill="auto"/>
          </w:tcPr>
          <w:p w:rsidR="00AA24D7" w:rsidRPr="00DA09CE" w:rsidRDefault="00AA24D7" w:rsidP="004571E1">
            <w:pPr>
              <w:pStyle w:val="NormalItem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A09CE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Local volunteer can serve as TPC chair &amp; organize a </w:t>
            </w:r>
            <w:r w:rsidR="00DA09CE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conference </w:t>
            </w:r>
            <w:r w:rsidRPr="00DA09CE">
              <w:rPr>
                <w:rFonts w:asciiTheme="minorHAnsi" w:hAnsiTheme="minorHAnsi"/>
                <w:sz w:val="22"/>
                <w:szCs w:val="22"/>
                <w:lang w:val="en-CA"/>
              </w:rPr>
              <w:t>committee</w:t>
            </w:r>
          </w:p>
        </w:tc>
        <w:tc>
          <w:tcPr>
            <w:tcW w:w="1325" w:type="pct"/>
            <w:shd w:val="clear" w:color="auto" w:fill="auto"/>
          </w:tcPr>
          <w:p w:rsidR="00AA24D7" w:rsidRPr="00DA09CE" w:rsidRDefault="00AA24D7" w:rsidP="004571E1">
            <w:pPr>
              <w:pStyle w:val="NormalItem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A09CE">
              <w:rPr>
                <w:rFonts w:asciiTheme="minorHAnsi" w:hAnsiTheme="minorHAnsi"/>
                <w:sz w:val="22"/>
                <w:szCs w:val="22"/>
                <w:lang w:val="en-CA"/>
              </w:rPr>
              <w:t>Can bring in more conferences to Montreal</w:t>
            </w:r>
          </w:p>
        </w:tc>
      </w:tr>
      <w:tr w:rsidR="00DA09CE" w:rsidRPr="00DA09CE" w:rsidTr="00DA09CE">
        <w:tc>
          <w:tcPr>
            <w:tcW w:w="749" w:type="pct"/>
            <w:shd w:val="clear" w:color="auto" w:fill="auto"/>
          </w:tcPr>
          <w:p w:rsidR="00AA24D7" w:rsidRPr="00DA09CE" w:rsidRDefault="00AA24D7" w:rsidP="004571E1">
            <w:pPr>
              <w:pStyle w:val="NormalItem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  <w:lang w:val="en-CA"/>
              </w:rPr>
            </w:pPr>
            <w:r w:rsidRPr="00DA09CE">
              <w:rPr>
                <w:rFonts w:asciiTheme="minorHAnsi" w:hAnsiTheme="minorHAnsi"/>
                <w:b/>
                <w:bCs/>
                <w:sz w:val="22"/>
                <w:szCs w:val="22"/>
                <w:lang w:val="en-CA"/>
              </w:rPr>
              <w:t>Possible services</w:t>
            </w:r>
          </w:p>
        </w:tc>
        <w:tc>
          <w:tcPr>
            <w:tcW w:w="1604" w:type="pct"/>
            <w:shd w:val="clear" w:color="auto" w:fill="auto"/>
          </w:tcPr>
          <w:p w:rsidR="00AA24D7" w:rsidRPr="00DA09CE" w:rsidRDefault="00AA24D7" w:rsidP="004571E1">
            <w:pPr>
              <w:pStyle w:val="NormalItem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A09CE">
              <w:rPr>
                <w:rFonts w:asciiTheme="minorHAnsi" w:hAnsiTheme="minorHAnsi"/>
                <w:sz w:val="22"/>
                <w:szCs w:val="22"/>
                <w:lang w:val="en-CA"/>
              </w:rPr>
              <w:t>(1) Provide local arrangements</w:t>
            </w:r>
          </w:p>
          <w:p w:rsidR="00AA24D7" w:rsidRPr="00DA09CE" w:rsidRDefault="00AA24D7" w:rsidP="004571E1">
            <w:pPr>
              <w:pStyle w:val="NormalItem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A09CE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(2) </w:t>
            </w:r>
            <w:r w:rsidR="00DA09CE">
              <w:rPr>
                <w:rFonts w:asciiTheme="minorHAnsi" w:hAnsiTheme="minorHAnsi"/>
                <w:sz w:val="22"/>
                <w:szCs w:val="22"/>
                <w:lang w:val="en-CA"/>
              </w:rPr>
              <w:t>Conference organization</w:t>
            </w:r>
          </w:p>
        </w:tc>
        <w:tc>
          <w:tcPr>
            <w:tcW w:w="1322" w:type="pct"/>
            <w:shd w:val="clear" w:color="auto" w:fill="auto"/>
          </w:tcPr>
          <w:p w:rsidR="00AA24D7" w:rsidRPr="00DA09CE" w:rsidRDefault="00AA24D7" w:rsidP="004571E1">
            <w:pPr>
              <w:pStyle w:val="NormalItem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A09CE">
              <w:rPr>
                <w:rFonts w:asciiTheme="minorHAnsi" w:hAnsiTheme="minorHAnsi"/>
                <w:sz w:val="22"/>
                <w:szCs w:val="22"/>
                <w:lang w:val="en-CA"/>
              </w:rPr>
              <w:t>N/A</w:t>
            </w:r>
          </w:p>
        </w:tc>
        <w:tc>
          <w:tcPr>
            <w:tcW w:w="1325" w:type="pct"/>
            <w:shd w:val="clear" w:color="auto" w:fill="auto"/>
          </w:tcPr>
          <w:p w:rsidR="00AA24D7" w:rsidRPr="00DA09CE" w:rsidRDefault="00AA24D7" w:rsidP="004571E1">
            <w:pPr>
              <w:pStyle w:val="NormalItem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A09CE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(1) Student awards, </w:t>
            </w:r>
            <w:r w:rsidR="00DA09CE">
              <w:rPr>
                <w:rFonts w:asciiTheme="minorHAnsi" w:hAnsiTheme="minorHAnsi"/>
                <w:sz w:val="22"/>
                <w:szCs w:val="22"/>
                <w:lang w:val="en-CA"/>
              </w:rPr>
              <w:br/>
            </w:r>
            <w:r w:rsidRPr="00DA09CE">
              <w:rPr>
                <w:rFonts w:asciiTheme="minorHAnsi" w:hAnsiTheme="minorHAnsi"/>
                <w:sz w:val="22"/>
                <w:szCs w:val="22"/>
                <w:lang w:val="en-CA"/>
              </w:rPr>
              <w:t>(2) Sponsor meals</w:t>
            </w:r>
          </w:p>
        </w:tc>
      </w:tr>
    </w:tbl>
    <w:p w:rsidR="00AA24D7" w:rsidRPr="00DA09CE" w:rsidRDefault="00AA24D7" w:rsidP="00B348A9">
      <w:pPr>
        <w:pStyle w:val="Heading1"/>
      </w:pPr>
      <w:r w:rsidRPr="00DA09CE">
        <w:t xml:space="preserve">Policy for Supporting </w:t>
      </w:r>
      <w:r w:rsidR="00B348A9">
        <w:t>Travels to IEEE Canada Summits</w:t>
      </w:r>
      <w:r w:rsidR="003D1180">
        <w:t>/Congresses</w:t>
      </w:r>
    </w:p>
    <w:p w:rsidR="00F20BBF" w:rsidRPr="00DA09CE" w:rsidRDefault="00B348A9" w:rsidP="00A66676">
      <w:pPr>
        <w:jc w:val="both"/>
      </w:pPr>
      <w:r>
        <w:t>For a 3-year trial period, the section (a) supports one delegate per student branch to travel to the IEEE Canada summit</w:t>
      </w:r>
      <w:r w:rsidR="003D1180">
        <w:t>/congress</w:t>
      </w:r>
      <w:r>
        <w:t xml:space="preserve"> with a total budget of $3500, or (b) support one delegate per student branch, </w:t>
      </w:r>
      <w:r w:rsidR="00A66676">
        <w:t xml:space="preserve">Young Professional </w:t>
      </w:r>
      <w:r>
        <w:t xml:space="preserve">and </w:t>
      </w:r>
      <w:r w:rsidR="00A66676">
        <w:t xml:space="preserve">Women in Engineering </w:t>
      </w:r>
      <w:r>
        <w:t xml:space="preserve">group to travel to the IEEE Canada </w:t>
      </w:r>
      <w:r w:rsidR="00A66676">
        <w:t>Summit</w:t>
      </w:r>
      <w:r w:rsidR="003D1180">
        <w:t>/</w:t>
      </w:r>
      <w:r w:rsidR="00A66676">
        <w:t xml:space="preserve">Congress </w:t>
      </w:r>
      <w:r>
        <w:t>with a budget of $5000 on alternate years.</w:t>
      </w:r>
    </w:p>
    <w:sectPr w:rsidR="00F20BBF" w:rsidRPr="00DA09CE" w:rsidSect="00A34C2A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B31" w:rsidRDefault="00535B31" w:rsidP="00D40BA7">
      <w:pPr>
        <w:spacing w:after="0" w:line="240" w:lineRule="auto"/>
      </w:pPr>
      <w:r>
        <w:separator/>
      </w:r>
    </w:p>
  </w:endnote>
  <w:endnote w:type="continuationSeparator" w:id="0">
    <w:p w:rsidR="00535B31" w:rsidRDefault="00535B31" w:rsidP="00D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BA7" w:rsidRPr="00D40BA7" w:rsidRDefault="00D40BA7">
    <w:pPr>
      <w:pStyle w:val="Footer"/>
      <w:rPr>
        <w:i/>
        <w:color w:val="17365D" w:themeColor="text2" w:themeShade="BF"/>
        <w:sz w:val="20"/>
        <w:szCs w:val="20"/>
      </w:rPr>
    </w:pPr>
    <w:r>
      <w:tab/>
    </w:r>
    <w:r w:rsidRPr="00D40BA7">
      <w:rPr>
        <w:i/>
        <w:color w:val="17365D" w:themeColor="text2" w:themeShade="BF"/>
        <w:sz w:val="20"/>
        <w:szCs w:val="20"/>
      </w:rPr>
      <w:t>IEEE Montreal Section: 2017-2018 Section Chair: Amy Pinchuk, email: a.pinchuk@ieee.org</w:t>
    </w:r>
    <w:r w:rsidR="00A34C2A">
      <w:rPr>
        <w:i/>
        <w:color w:val="17365D" w:themeColor="text2" w:themeShade="BF"/>
        <w:sz w:val="20"/>
        <w:szCs w:val="20"/>
      </w:rPr>
      <w:tab/>
    </w:r>
    <w:r w:rsidR="003019A9" w:rsidRPr="00A34C2A">
      <w:rPr>
        <w:i/>
        <w:color w:val="17365D" w:themeColor="text2" w:themeShade="BF"/>
        <w:sz w:val="20"/>
        <w:szCs w:val="20"/>
      </w:rPr>
      <w:fldChar w:fldCharType="begin"/>
    </w:r>
    <w:r w:rsidR="00A34C2A" w:rsidRPr="00A34C2A">
      <w:rPr>
        <w:i/>
        <w:color w:val="17365D" w:themeColor="text2" w:themeShade="BF"/>
        <w:sz w:val="20"/>
        <w:szCs w:val="20"/>
      </w:rPr>
      <w:instrText xml:space="preserve"> PAGE   \* MERGEFORMAT </w:instrText>
    </w:r>
    <w:r w:rsidR="003019A9" w:rsidRPr="00A34C2A">
      <w:rPr>
        <w:i/>
        <w:color w:val="17365D" w:themeColor="text2" w:themeShade="BF"/>
        <w:sz w:val="20"/>
        <w:szCs w:val="20"/>
      </w:rPr>
      <w:fldChar w:fldCharType="separate"/>
    </w:r>
    <w:r w:rsidR="003D1180">
      <w:rPr>
        <w:i/>
        <w:noProof/>
        <w:color w:val="17365D" w:themeColor="text2" w:themeShade="BF"/>
        <w:sz w:val="20"/>
        <w:szCs w:val="20"/>
      </w:rPr>
      <w:t>2</w:t>
    </w:r>
    <w:r w:rsidR="003019A9" w:rsidRPr="00A34C2A">
      <w:rPr>
        <w:i/>
        <w:color w:val="17365D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B31" w:rsidRDefault="00535B31" w:rsidP="00D40BA7">
      <w:pPr>
        <w:spacing w:after="0" w:line="240" w:lineRule="auto"/>
      </w:pPr>
      <w:r>
        <w:separator/>
      </w:r>
    </w:p>
  </w:footnote>
  <w:footnote w:type="continuationSeparator" w:id="0">
    <w:p w:rsidR="00535B31" w:rsidRDefault="00535B31" w:rsidP="00D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C2A" w:rsidRPr="00A34C2A" w:rsidRDefault="00A34C2A" w:rsidP="00A34C2A">
    <w:pPr>
      <w:pStyle w:val="Header"/>
      <w:jc w:val="right"/>
      <w:rPr>
        <w:i/>
      </w:rPr>
    </w:pPr>
    <w:r w:rsidRPr="00A34C2A">
      <w:rPr>
        <w:i/>
      </w:rPr>
      <w:t>IEEE Montréal Section Operations Manual</w:t>
    </w:r>
  </w:p>
  <w:p w:rsidR="00A34C2A" w:rsidRDefault="00A34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897"/>
    <w:multiLevelType w:val="hybridMultilevel"/>
    <w:tmpl w:val="35B6F88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138C"/>
    <w:multiLevelType w:val="hybridMultilevel"/>
    <w:tmpl w:val="9E9C44D0"/>
    <w:lvl w:ilvl="0" w:tplc="B2249470">
      <w:start w:val="1"/>
      <w:numFmt w:val="bullet"/>
      <w:pStyle w:val="NormalIt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0C3C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17D44"/>
    <w:multiLevelType w:val="hybridMultilevel"/>
    <w:tmpl w:val="0088A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C4D0E"/>
    <w:multiLevelType w:val="hybridMultilevel"/>
    <w:tmpl w:val="B75258B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BC275B"/>
    <w:multiLevelType w:val="multilevel"/>
    <w:tmpl w:val="4A70FBF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E87D6D"/>
    <w:multiLevelType w:val="hybridMultilevel"/>
    <w:tmpl w:val="97BEE24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737D0"/>
    <w:multiLevelType w:val="hybridMultilevel"/>
    <w:tmpl w:val="C552546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26F3D"/>
    <w:multiLevelType w:val="hybridMultilevel"/>
    <w:tmpl w:val="809208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C3A6E"/>
    <w:multiLevelType w:val="hybridMultilevel"/>
    <w:tmpl w:val="7AE88446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290"/>
    <w:rsid w:val="00055097"/>
    <w:rsid w:val="000A100D"/>
    <w:rsid w:val="00156A5D"/>
    <w:rsid w:val="00252372"/>
    <w:rsid w:val="00280B3C"/>
    <w:rsid w:val="002A4E6A"/>
    <w:rsid w:val="002E6E65"/>
    <w:rsid w:val="003019A9"/>
    <w:rsid w:val="00361E56"/>
    <w:rsid w:val="003D085C"/>
    <w:rsid w:val="003D1180"/>
    <w:rsid w:val="004C1454"/>
    <w:rsid w:val="00535B31"/>
    <w:rsid w:val="005425D2"/>
    <w:rsid w:val="005B55FD"/>
    <w:rsid w:val="00642DE8"/>
    <w:rsid w:val="00653040"/>
    <w:rsid w:val="00787290"/>
    <w:rsid w:val="007B04FD"/>
    <w:rsid w:val="009B554E"/>
    <w:rsid w:val="009C1383"/>
    <w:rsid w:val="00A34C2A"/>
    <w:rsid w:val="00A66676"/>
    <w:rsid w:val="00A73285"/>
    <w:rsid w:val="00AA24D7"/>
    <w:rsid w:val="00B348A9"/>
    <w:rsid w:val="00C356B5"/>
    <w:rsid w:val="00CA2ECF"/>
    <w:rsid w:val="00D11A27"/>
    <w:rsid w:val="00D40BA7"/>
    <w:rsid w:val="00DA09CE"/>
    <w:rsid w:val="00DC118A"/>
    <w:rsid w:val="00E46666"/>
    <w:rsid w:val="00E75D9B"/>
    <w:rsid w:val="00F20BBF"/>
    <w:rsid w:val="00F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3787"/>
  <w15:docId w15:val="{DF5D5D03-4B21-4110-B4D8-3449CC60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4FD"/>
  </w:style>
  <w:style w:type="paragraph" w:styleId="Heading1">
    <w:name w:val="heading 1"/>
    <w:basedOn w:val="Normal"/>
    <w:next w:val="Normal"/>
    <w:link w:val="Heading1Char"/>
    <w:uiPriority w:val="9"/>
    <w:qFormat/>
    <w:rsid w:val="00642DE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A7"/>
  </w:style>
  <w:style w:type="paragraph" w:styleId="Footer">
    <w:name w:val="footer"/>
    <w:basedOn w:val="Normal"/>
    <w:link w:val="FooterChar"/>
    <w:uiPriority w:val="99"/>
    <w:unhideWhenUsed/>
    <w:rsid w:val="00D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A7"/>
  </w:style>
  <w:style w:type="character" w:customStyle="1" w:styleId="Heading1Char">
    <w:name w:val="Heading 1 Char"/>
    <w:basedOn w:val="DefaultParagraphFont"/>
    <w:link w:val="Heading1"/>
    <w:uiPriority w:val="9"/>
    <w:rsid w:val="00642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5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85C"/>
    <w:rPr>
      <w:color w:val="0000FF" w:themeColor="hyperlink"/>
      <w:u w:val="single"/>
    </w:rPr>
  </w:style>
  <w:style w:type="paragraph" w:customStyle="1" w:styleId="NormalItem">
    <w:name w:val="Normal Item"/>
    <w:basedOn w:val="Normal"/>
    <w:rsid w:val="00AA24D7"/>
    <w:pPr>
      <w:numPr>
        <w:numId w:val="9"/>
      </w:numPr>
      <w:spacing w:before="6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6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ebsi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ntreal.ieee.c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ield2\Desktop\IEEE\SECTION%20Chair\IEEE%20Secti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 Section Letterhead</Template>
  <TotalTime>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InField2</dc:creator>
  <cp:lastModifiedBy>Hossain Mohammadi</cp:lastModifiedBy>
  <cp:revision>3</cp:revision>
  <cp:lastPrinted>2018-07-12T14:39:00Z</cp:lastPrinted>
  <dcterms:created xsi:type="dcterms:W3CDTF">2019-04-09T16:40:00Z</dcterms:created>
  <dcterms:modified xsi:type="dcterms:W3CDTF">2019-04-09T16:47:00Z</dcterms:modified>
</cp:coreProperties>
</file>